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8177" w14:textId="77777777" w:rsidR="00213501" w:rsidRP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501">
        <w:rPr>
          <w:rFonts w:ascii="Times New Roman" w:hAnsi="Times New Roman" w:cs="Times New Roman"/>
          <w:sz w:val="28"/>
          <w:szCs w:val="28"/>
        </w:rPr>
        <w:t xml:space="preserve">Ст. 1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iс-қимыл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N 416-I</w:t>
      </w:r>
    </w:p>
    <w:p w14:paraId="121A57C6" w14:textId="77777777" w:rsidR="00213501" w:rsidRP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EBC82F" w14:textId="77777777" w:rsid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Тексерілді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28.11.2024</w:t>
      </w:r>
    </w:p>
    <w:p w14:paraId="38A26ED9" w14:textId="77777777" w:rsid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71953" w14:textId="756B838B" w:rsidR="00213501" w:rsidRPr="00213501" w:rsidRDefault="00213501" w:rsidP="002135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iс-қимыл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1-бап. Осы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Заңда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пайдаланылатын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ұғымдар</w:t>
      </w:r>
      <w:proofErr w:type="spellEnd"/>
    </w:p>
    <w:p w14:paraId="3D0385DD" w14:textId="77777777" w:rsid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501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: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жиналатын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көліктік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инфрақұрылым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автомобильдік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рельсті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спорт,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концерт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залдары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көпшілікке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құрылысжайлар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туристерді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 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бөлімше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актілерінің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бөлімше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 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кепілге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адам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кепілге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ұсталған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босату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жасаудан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тартынуға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мәжбүрлеу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кепілге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ұсталған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адам;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3-1)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құрылыстар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құрылысжайлар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іргелес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аумақ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пен акватория;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идеологиясы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идеологиялық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қолдануды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жақтайтын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көзқарастар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5) терроризм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идеологиясы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үрейлендіруге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залал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келтіруге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жасаймын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қорқыту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қабылдауына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практикасы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6)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қаупін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төндіру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мүліктік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залал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салдарлардың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туындау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қаупін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төндіретін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жарылыс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lastRenderedPageBreak/>
        <w:t>жасаймын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қорқыту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үрейлендіру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мемлекеттердің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қабылдауына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жасалса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мақсаттарда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қастандық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қайраткерінің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қастандық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6-1)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таратылатын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материалда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итермелеу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санасына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еркіне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мінез-құлқына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үндеу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7)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операция – адам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иттерді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жауынгерлік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техниканы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террористерді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жарылғыш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зиянсыздандыру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салдарларын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іс-шаралары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бастығының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8)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операцияның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істеуінің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айрықша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операция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аймақта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операцияны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шетелдіктердің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азаматтығы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бостандықтарына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құқықтарына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шектеулер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белгілеуге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9)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операцияны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операцияның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айқындаған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операция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акваторияның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учаскелері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әуе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кеңістігі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үй-жай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іргелес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аумақтар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10)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: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профилактикасы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қылмыстарды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шұғыл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медициналық-психологиялық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авариялық-құтқару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ұшыраған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істеуін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жәбірленуші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кесуге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жәбірленуші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салдарларын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11)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орган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ведомствоаралық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өкілеттігі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орган;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12)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мүліктің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әскерилендірілген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құралымды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пайдаланылатынын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көрінеу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ұғынып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ақшаны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мүлікті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мүлікке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мүліктік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пайданы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жинауы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сыйға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тартуы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айырбастауы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қайырмалдық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көмегі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13)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профилактикасы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себептер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насихаттық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14) террорист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адам;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14-1)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террористiк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iс-әрекет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оны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шақыруды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iс-әрекеттi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қажеттiлігiн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негiздейтiн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ақтайтын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lastRenderedPageBreak/>
        <w:br/>
        <w:t xml:space="preserve">15)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топ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көздейтін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ұйымдасқан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топ;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16)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етілетін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салаларының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жиналатын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күзетілетін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16-1)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актісін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салдарларын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азайтуды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жоюды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жағдайлардың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жай-күйі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16-2)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17)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іс-әрекетінде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мойындайтын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күшіне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18)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террористiк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iс-әрекет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келгенін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: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актiсiн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iске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актiсiн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айдап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салу;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актiсiн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әскерилендiрiлген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құралымды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қоғамдастықты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ұйымдасқан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құрылымдарға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>ЗҚАИ-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ескертпесі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!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18)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тармақшаның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бесінші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абзацы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ҚР 01.07.2022 № 131-VII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алпыс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lastRenderedPageBreak/>
        <w:t>террористердi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азғырып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қаруландыру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актiсiн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жоспарлауға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өзгедей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>ЗҚАИ-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ескертпесі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!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18)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тармақшаның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жетінші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абзацына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ҚР 01.07.2022 № 131-VII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алпыс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терроризм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идеяларын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террористiк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телекоммуникация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желілерін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;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пайдаланатынын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ұғына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террористерге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заңнамасына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іс-әрекеті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>ЗҚАИ-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ескертпесі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!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18)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тармақшаны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тоғызыншы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оныншы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төртінші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бесінші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алтыншы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жетінші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абзацтармен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– ҚР 01.07.2022 № 131-VII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алпыс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. 1-бап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- ҚР 2013.01.08 № 63-V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жариялағанынан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- ҚР 04.07.2014 № 233-V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кейiн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күнтiзбелiк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енгiзiледi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); 03.11.2014 № 244-V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2-баптан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); 16.11.2015 № 403-V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); 13.05.2020 № 325-VI (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Заңдарымен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</w:t>
      </w:r>
    </w:p>
    <w:p w14:paraId="063088D7" w14:textId="77777777" w:rsidR="00213501" w:rsidRP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991BC" w14:textId="77777777" w:rsidR="00213501" w:rsidRP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iс-қимыл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21350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t xml:space="preserve">2-бап.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заңнамасы</w:t>
      </w:r>
      <w:proofErr w:type="spellEnd"/>
    </w:p>
    <w:p w14:paraId="3AE35A6C" w14:textId="0F303999" w:rsidR="00213501" w:rsidRPr="00213501" w:rsidRDefault="00213501" w:rsidP="002135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5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заңнамасы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Конституциясына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r w:rsidRPr="00213501">
        <w:rPr>
          <w:rFonts w:ascii="Times New Roman" w:hAnsi="Times New Roman" w:cs="Times New Roman"/>
          <w:sz w:val="28"/>
          <w:szCs w:val="28"/>
        </w:rPr>
        <w:lastRenderedPageBreak/>
        <w:t xml:space="preserve">осы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актілерінен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ратификациялаған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көзделгеннен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белгіленсе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шарттың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 </w:t>
      </w:r>
      <w:r w:rsidRPr="00213501">
        <w:rPr>
          <w:rFonts w:ascii="Times New Roman" w:hAnsi="Times New Roman" w:cs="Times New Roman"/>
          <w:sz w:val="28"/>
          <w:szCs w:val="28"/>
        </w:rPr>
        <w:br/>
      </w:r>
      <w:r w:rsidRPr="002135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. 2-бап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 xml:space="preserve"> - ҚР 2010.04.08 № 266-IV </w:t>
      </w:r>
      <w:proofErr w:type="spellStart"/>
      <w:r w:rsidRPr="00213501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213501">
        <w:rPr>
          <w:rFonts w:ascii="Times New Roman" w:hAnsi="Times New Roman" w:cs="Times New Roman"/>
          <w:sz w:val="28"/>
          <w:szCs w:val="28"/>
        </w:rPr>
        <w:t>.</w:t>
      </w:r>
      <w:r w:rsidRPr="00213501">
        <w:rPr>
          <w:rFonts w:ascii="Times New Roman" w:hAnsi="Times New Roman" w:cs="Times New Roman"/>
          <w:sz w:val="28"/>
          <w:szCs w:val="28"/>
        </w:rPr>
        <w:br/>
      </w:r>
    </w:p>
    <w:p w14:paraId="7D8223F4" w14:textId="77777777" w:rsidR="004C724F" w:rsidRPr="00213501" w:rsidRDefault="004C724F" w:rsidP="00213501">
      <w:pPr>
        <w:rPr>
          <w:rFonts w:ascii="Times New Roman" w:hAnsi="Times New Roman" w:cs="Times New Roman"/>
          <w:sz w:val="28"/>
          <w:szCs w:val="28"/>
        </w:rPr>
      </w:pPr>
    </w:p>
    <w:sectPr w:rsidR="004C724F" w:rsidRPr="0021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1"/>
    <w:rsid w:val="00190D3E"/>
    <w:rsid w:val="00213501"/>
    <w:rsid w:val="004C724F"/>
    <w:rsid w:val="0055063B"/>
    <w:rsid w:val="00B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F995"/>
  <w15:chartTrackingRefBased/>
  <w15:docId w15:val="{EE591974-0E5D-4A58-8D8D-156913E6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5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427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1983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1276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2107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1575</Words>
  <Characters>8983</Characters>
  <Application>Microsoft Office Word</Application>
  <DocSecurity>0</DocSecurity>
  <Lines>74</Lines>
  <Paragraphs>21</Paragraphs>
  <ScaleCrop>false</ScaleCrop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2024-11-29T11:32:00Z</dcterms:created>
  <dcterms:modified xsi:type="dcterms:W3CDTF">2024-11-29T11:41:00Z</dcterms:modified>
</cp:coreProperties>
</file>