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A0" w:rsidRDefault="00A83AA0" w:rsidP="00A83A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3AA0" w:rsidRPr="002F2579" w:rsidRDefault="00A83AA0" w:rsidP="006121A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E16E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sectPr w:rsidR="002E16E9" w:rsidSect="002E1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6E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 xml:space="preserve">          </w:t>
      </w:r>
      <w:r w:rsidR="00735709"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3219A">
        <w:rPr>
          <w:rFonts w:ascii="Calibri" w:hAnsi="Calibri" w:cs="Calibri"/>
          <w:noProof/>
          <w:lang w:eastAsia="ru-RU"/>
        </w:rPr>
        <w:drawing>
          <wp:inline distT="0" distB="0" distL="0" distR="0" wp14:anchorId="58B9D5D2" wp14:editId="6C4CB90C">
            <wp:extent cx="1722324" cy="1581150"/>
            <wp:effectExtent l="0" t="0" r="0" b="0"/>
            <wp:docPr id="2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35709"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</w:p>
    <w:p w:rsidR="002E16E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E16E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E16E9" w:rsidRPr="002E16E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E16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Хабарландыру</w:t>
      </w:r>
    </w:p>
    <w:p w:rsidR="002E16E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азаматтық қызметшілердің бос лауазымдарына орналасуға арналған конкурс туралы</w:t>
      </w:r>
    </w:p>
    <w:p w:rsidR="002E16E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sectPr w:rsidR="002E16E9" w:rsidSect="002E16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E16E9" w:rsidRPr="002F2579" w:rsidRDefault="002E16E9" w:rsidP="002E16E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83AA0" w:rsidRPr="002F2579" w:rsidRDefault="00A83AA0" w:rsidP="00A83AA0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өткізетін ұйымның атауы, оның орналасқан жері, пошталық мекенжайы, телефон және факс нөмірлері, электрондық пошта мекенжайы көрсетілген:</w:t>
      </w:r>
    </w:p>
    <w:p w:rsidR="00735709" w:rsidRPr="00F84C79" w:rsidRDefault="00735709" w:rsidP="00A83AA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A83AA0" w:rsidRPr="00F84C79" w:rsidRDefault="00735709" w:rsidP="00A83A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Шахан кенті  11/17 кварталы, 25 ғимарат </w:t>
      </w:r>
    </w:p>
    <w:p w:rsidR="00A83AA0" w:rsidRPr="00F84C79" w:rsidRDefault="00A83AA0" w:rsidP="00A8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C79">
        <w:rPr>
          <w:rFonts w:ascii="Times New Roman" w:hAnsi="Times New Roman" w:cs="Times New Roman"/>
          <w:sz w:val="28"/>
          <w:szCs w:val="28"/>
        </w:rPr>
        <w:t xml:space="preserve">тел.8(72156)33303,  8(72156)34041, </w:t>
      </w:r>
    </w:p>
    <w:p w:rsidR="00A83AA0" w:rsidRPr="00F84C79" w:rsidRDefault="00A83AA0" w:rsidP="00A83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84C7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84C7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shahtinsk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berezka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krg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A83AA0" w:rsidRPr="00F84C79" w:rsidRDefault="00A83AA0" w:rsidP="00A83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3AA0" w:rsidRPr="00F84C79" w:rsidRDefault="00735709" w:rsidP="00735709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лауазымдардың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егізгі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функционалдық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міндеттері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еңбекақы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мөлшері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шарттары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көрсетілген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84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3AA0" w:rsidRPr="00F84C79" w:rsidRDefault="00735709" w:rsidP="00A83A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Pr="00F84C79">
        <w:rPr>
          <w:rFonts w:ascii="Times New Roman" w:hAnsi="Times New Roman" w:cs="Times New Roman"/>
          <w:sz w:val="28"/>
          <w:szCs w:val="28"/>
        </w:rPr>
        <w:t xml:space="preserve">: 4 </w:t>
      </w:r>
      <w:r w:rsidRPr="00F84C79">
        <w:rPr>
          <w:rFonts w:ascii="Times New Roman" w:hAnsi="Times New Roman" w:cs="Times New Roman"/>
          <w:sz w:val="28"/>
          <w:szCs w:val="28"/>
          <w:lang w:val="kk-KZ"/>
        </w:rPr>
        <w:t>бос жұмыс орындары</w:t>
      </w:r>
    </w:p>
    <w:p w:rsidR="00A83AA0" w:rsidRPr="00F84C79" w:rsidRDefault="00735709" w:rsidP="00A83A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84C79">
        <w:rPr>
          <w:rFonts w:ascii="Times New Roman" w:hAnsi="Times New Roman" w:cs="Times New Roman"/>
          <w:sz w:val="28"/>
          <w:szCs w:val="28"/>
        </w:rPr>
        <w:t>Музыкал</w:t>
      </w:r>
      <w:proofErr w:type="spellEnd"/>
      <w:r w:rsidRPr="00F84C79">
        <w:rPr>
          <w:rFonts w:ascii="Times New Roman" w:hAnsi="Times New Roman" w:cs="Times New Roman"/>
          <w:sz w:val="28"/>
          <w:szCs w:val="28"/>
          <w:lang w:val="kk-KZ"/>
        </w:rPr>
        <w:t>ық жетекші</w:t>
      </w:r>
      <w:r w:rsidRPr="00F84C79">
        <w:rPr>
          <w:rFonts w:ascii="Times New Roman" w:hAnsi="Times New Roman" w:cs="Times New Roman"/>
          <w:sz w:val="28"/>
          <w:szCs w:val="28"/>
        </w:rPr>
        <w:t xml:space="preserve">: 1 </w:t>
      </w:r>
      <w:proofErr w:type="gramStart"/>
      <w:r w:rsidRPr="00F84C79">
        <w:rPr>
          <w:rFonts w:ascii="Times New Roman" w:hAnsi="Times New Roman" w:cs="Times New Roman"/>
          <w:sz w:val="28"/>
          <w:szCs w:val="28"/>
          <w:lang w:val="kk-KZ"/>
        </w:rPr>
        <w:t>бос ж</w:t>
      </w:r>
      <w:proofErr w:type="gramEnd"/>
      <w:r w:rsidRPr="00F84C79">
        <w:rPr>
          <w:rFonts w:ascii="Times New Roman" w:hAnsi="Times New Roman" w:cs="Times New Roman"/>
          <w:sz w:val="28"/>
          <w:szCs w:val="28"/>
          <w:lang w:val="kk-KZ"/>
        </w:rPr>
        <w:t>ұмыс орны</w:t>
      </w:r>
    </w:p>
    <w:p w:rsidR="00A83AA0" w:rsidRPr="00F84C79" w:rsidRDefault="00A47032" w:rsidP="00A83A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>Робототехника оқытушысы</w:t>
      </w:r>
      <w:r w:rsidR="00F84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C79">
        <w:rPr>
          <w:rFonts w:ascii="Times New Roman" w:hAnsi="Times New Roman" w:cs="Times New Roman"/>
          <w:sz w:val="28"/>
          <w:szCs w:val="28"/>
          <w:lang w:val="kk-KZ"/>
        </w:rPr>
        <w:t>(мұғалім</w:t>
      </w:r>
      <w:r w:rsidR="007A2792" w:rsidRPr="00F84C7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84C7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35709" w:rsidRPr="00F84C79">
        <w:rPr>
          <w:rFonts w:ascii="Times New Roman" w:hAnsi="Times New Roman" w:cs="Times New Roman"/>
          <w:sz w:val="28"/>
          <w:szCs w:val="28"/>
          <w:lang w:val="kk-KZ"/>
        </w:rPr>
        <w:t>: 1 бос жұмыс орны</w:t>
      </w:r>
    </w:p>
    <w:p w:rsidR="00A83AA0" w:rsidRPr="00F84C79" w:rsidRDefault="007A2792" w:rsidP="00A83AA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Функционалдық міндеттері</w:t>
      </w:r>
      <w:r w:rsidR="00A83AA0"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A83AA0" w:rsidRPr="00F84C79" w:rsidRDefault="007A2792" w:rsidP="00A83A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білім беру ұйымының тәрбиешісі</w:t>
      </w:r>
      <w:r w:rsidR="00A83AA0" w:rsidRPr="00F84C7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A2792" w:rsidRPr="00F84C79" w:rsidRDefault="007A2792" w:rsidP="00A83AA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өткізеді.</w:t>
      </w:r>
    </w:p>
    <w:p w:rsidR="007A2792" w:rsidRPr="00F84C79" w:rsidRDefault="00A83AA0" w:rsidP="00A83AA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A2792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Денсаулық сақтау технологияларын қолдана отырып, балалардың өмірі мен денсаулығын қорғауды қамтамасыз етеді, топтағы әр баланың денсаулығының жай-күйі мен нығаюын бақылайды, ұйымның медициналық қызметкерлерімен бірлесіп, балалардың денсаулығын нығайтуға, психофизикалық дамуына ықпал ететін кешенді іс-шараларды жүйелі түрде өткізеді.</w:t>
      </w:r>
    </w:p>
    <w:p w:rsidR="00DC5747" w:rsidRPr="00F84C79" w:rsidRDefault="00A83AA0" w:rsidP="00A83AA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A2792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 жасына дейінгі балалармен жұмыс істеудің тиісті кәсіби құзыреттеріне ие.</w:t>
      </w:r>
    </w:p>
    <w:p w:rsidR="00496139" w:rsidRPr="00F84C79" w:rsidRDefault="00496139" w:rsidP="00A83AA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-Пәндік-дамытушылық ортаны қалыптастырады, балалардың іс-әрек</w:t>
      </w:r>
      <w:r w:rsidR="001E2437">
        <w:rPr>
          <w:rFonts w:ascii="Times New Roman" w:hAnsi="Times New Roman" w:cs="Times New Roman"/>
          <w:color w:val="000000"/>
          <w:sz w:val="28"/>
          <w:szCs w:val="28"/>
          <w:lang w:val="kk-KZ"/>
        </w:rPr>
        <w:t>етін басқарады (ойын, танымдық,</w:t>
      </w:r>
      <w:r w:rsidR="006A4BFC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бейнелеу, е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ңбек және т.б.</w:t>
      </w:r>
      <w:r w:rsidR="007C1128">
        <w:rPr>
          <w:rFonts w:ascii="Times New Roman" w:hAnsi="Times New Roman" w:cs="Times New Roman"/>
          <w:color w:val="000000"/>
          <w:sz w:val="28"/>
          <w:szCs w:val="28"/>
          <w:lang w:val="kk-KZ"/>
        </w:rPr>
        <w:t>). Сабақтарды өткізуге дайындалады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C1128" w:rsidRDefault="00A83AA0" w:rsidP="006A4B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A4BFC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Өз тобындағы әрбір балаға құрметпен және қамқорлықпен қарау, балалармен және олардың ата-аналарымен қарым-қатынаста ұстамдылық пен педагогикалық әдептілік таныту, білім алушылардың, тәрбиеленушілердің </w:t>
      </w:r>
      <w:r w:rsidR="006A4BFC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және олардың ата-аналарының немесе өзге де заңды өкілдерінің ар-намысы мен қадір-қасиетін құрметтеу. </w:t>
      </w:r>
    </w:p>
    <w:p w:rsidR="006A4BFC" w:rsidRPr="00F84C79" w:rsidRDefault="006A4BFC" w:rsidP="006A4B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Компьютерлік сауаттылықты, ақпараттық-коммуникациялық құзыреттілікті меңгеру. Білім алушылар мен тәрбиеленушілерді оқыту және тәрбиелеу мәселелері бойынша ата-аналарға немесе өзге де заңды өкілдерге кеңес беру.</w:t>
      </w:r>
    </w:p>
    <w:p w:rsidR="00A83AA0" w:rsidRPr="00F84C79" w:rsidRDefault="006A4BFC" w:rsidP="006A4BF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</w:t>
      </w:r>
      <w:r w:rsidR="00A83AA0" w:rsidRPr="00F84C7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3AA0" w:rsidRPr="00F84C79" w:rsidTr="002577B7">
        <w:tc>
          <w:tcPr>
            <w:tcW w:w="3190" w:type="dxa"/>
            <w:vMerge w:val="restart"/>
          </w:tcPr>
          <w:p w:rsidR="006A4BFC" w:rsidRPr="00B5572E" w:rsidRDefault="006A4BFC" w:rsidP="00B5572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83AA0" w:rsidRPr="00B5572E" w:rsidRDefault="006A4BFC" w:rsidP="00B5572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Сілтеме, кезең</w:t>
            </w:r>
          </w:p>
        </w:tc>
        <w:tc>
          <w:tcPr>
            <w:tcW w:w="6381" w:type="dxa"/>
            <w:gridSpan w:val="2"/>
          </w:tcPr>
          <w:p w:rsidR="00A83AA0" w:rsidRPr="00B5572E" w:rsidRDefault="006A4BFC" w:rsidP="00B5572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A83AA0" w:rsidRPr="00F84C79" w:rsidTr="002577B7">
        <w:tc>
          <w:tcPr>
            <w:tcW w:w="3190" w:type="dxa"/>
            <w:vMerge/>
          </w:tcPr>
          <w:p w:rsidR="00A83AA0" w:rsidRPr="00F84C79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A83AA0" w:rsidRPr="00F84C79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3191" w:type="dxa"/>
          </w:tcPr>
          <w:p w:rsidR="00A83AA0" w:rsidRPr="00F84C79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A83AA0" w:rsidRPr="00F84C79" w:rsidTr="002577B7">
        <w:tc>
          <w:tcPr>
            <w:tcW w:w="3190" w:type="dxa"/>
          </w:tcPr>
          <w:p w:rsidR="00A83AA0" w:rsidRPr="00B5572E" w:rsidRDefault="00A83AA0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A83AA0" w:rsidRPr="00B5572E" w:rsidRDefault="006A4BFC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A83AA0" w:rsidRPr="00F84C79" w:rsidRDefault="00A83AA0" w:rsidP="00A83AA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3AA0" w:rsidRPr="00F84C79" w:rsidRDefault="006A4BFC" w:rsidP="00B557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талаптарына сәйкес конкурсқа қатысушыларға қойылатын негізгі талаптар</w:t>
      </w:r>
      <w:r w:rsidR="00A83AA0"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C7356C" w:rsidRPr="00F84C79" w:rsidRDefault="00B5572E" w:rsidP="00A83AA0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 (санатсыз</w:t>
      </w:r>
      <w:r w:rsidR="00C7356C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): тиісті бейін бойынша педагогикалық кәсіптік білімі немесе тиісті бейін бойынша педагогикалық қайта даярлауды немесе техникалық және кәсіптік білімін растайтын, жұмыс өтіліне қойылатын талаптарды көрсетпей-ақ өзге де құжаты бар</w:t>
      </w:r>
    </w:p>
    <w:p w:rsidR="00C7356C" w:rsidRPr="00F84C79" w:rsidRDefault="006A40F7" w:rsidP="00A83AA0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Білуі тиіс</w:t>
      </w:r>
      <w:r w:rsidR="00C7356C"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B5572E" w:rsidRDefault="006A40F7" w:rsidP="00A83AA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ҚР Конституциясы, ҚР Еңбек кодексі, "Білім туралы", "Педагог мәртебесі туралы", "Сыбайлас жемқорлыққа қарсы іс-қимыл туралы" ҚР Заңдары және білім беруді дамытудың бағыттары мен перспективаларын айқындайтын ҚР басқа да нормативтік-құқықтық актілері;</w:t>
      </w:r>
    </w:p>
    <w:p w:rsidR="00B5572E" w:rsidRDefault="006A40F7" w:rsidP="00A83AA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Психология және педагогика, алғашқы дәрігерге дейінгі медициналық көмек көрсету қағидалары, еңбек қауіпсіздігі және еңбекті қорғау жөніндегі қағидалар, санитариялық қағидалар;</w:t>
      </w:r>
    </w:p>
    <w:p w:rsidR="00A83AA0" w:rsidRPr="00F84C79" w:rsidRDefault="001E2437" w:rsidP="00A83AA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-М</w:t>
      </w:r>
      <w:r w:rsidR="006A40F7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ектепке дейінгі тәрбие мен оқытуды ұйымдастыру жөніндегі нормативтік-құқықтық құжаттар.</w:t>
      </w:r>
    </w:p>
    <w:p w:rsidR="00A83AA0" w:rsidRPr="00F84C79" w:rsidRDefault="006A40F7" w:rsidP="00A83AA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2.2.Мектепке дейінгі білім беру ұйымының музыкалық жетекшісі</w:t>
      </w:r>
      <w:r w:rsidR="00A83AA0" w:rsidRPr="00F84C7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D335B" w:rsidRPr="00F84C79" w:rsidRDefault="006A40F7" w:rsidP="00B5572E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-Музыкалық және басқа да мәдени-бұқаралық іс-шараларды ұйымдастырады және өткізеді, балалармен жеке жұмыс жүргізеді, музыкалық дарынды балаларды анықтайды.</w:t>
      </w:r>
    </w:p>
    <w:p w:rsidR="006D335B" w:rsidRPr="00F84C79" w:rsidRDefault="006D335B" w:rsidP="00B5572E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Музыкалық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аспапта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техникасын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меңгерген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335B" w:rsidRPr="00F84C79" w:rsidRDefault="006D335B" w:rsidP="00B5572E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Өзінің кәсіби шеберлігін, зерттеу, зияткерлік және шығармашылық деңгейін жетілдіреді, оның ішінде біліктілік санатының деңгейін кемінде бес жылда бір рет арттырады (растайды).</w:t>
      </w:r>
    </w:p>
    <w:p w:rsidR="006D335B" w:rsidRPr="00F84C79" w:rsidRDefault="00B5572E" w:rsidP="00B557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6D335B" w:rsidRPr="00F84C79">
        <w:rPr>
          <w:rFonts w:ascii="Times New Roman" w:hAnsi="Times New Roman" w:cs="Times New Roman"/>
          <w:sz w:val="28"/>
          <w:szCs w:val="28"/>
          <w:lang w:val="kk-KZ"/>
        </w:rPr>
        <w:t>- Балалармен жұмыс тәжірибесіне педагогикалық тәжірибені енгізеді.</w:t>
      </w:r>
    </w:p>
    <w:p w:rsidR="006D335B" w:rsidRPr="00F84C79" w:rsidRDefault="00B5572E" w:rsidP="00B5572E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-</w:t>
      </w:r>
      <w:r w:rsidR="006D335B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Диагностикалық әдістемені қолдана отырып, әр баланың музыкалық дамуына деңгейлік баға береді.</w:t>
      </w:r>
    </w:p>
    <w:p w:rsidR="006D335B" w:rsidRPr="00F84C79" w:rsidRDefault="006D335B" w:rsidP="00A83AA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Компьютерлік сауаттылықты, ақпараттық-коммуникациялық құзыреттілікті меңгеру.</w:t>
      </w:r>
    </w:p>
    <w:p w:rsidR="006D335B" w:rsidRPr="00F84C79" w:rsidRDefault="006D335B" w:rsidP="006D335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335B" w:rsidRPr="00F84C79" w:rsidTr="002577B7">
        <w:tc>
          <w:tcPr>
            <w:tcW w:w="3190" w:type="dxa"/>
            <w:vMerge w:val="restart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Сілтеме, кезең</w:t>
            </w:r>
          </w:p>
        </w:tc>
        <w:tc>
          <w:tcPr>
            <w:tcW w:w="6381" w:type="dxa"/>
            <w:gridSpan w:val="2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6D335B" w:rsidRPr="00F84C79" w:rsidTr="002577B7">
        <w:tc>
          <w:tcPr>
            <w:tcW w:w="3190" w:type="dxa"/>
            <w:vMerge/>
          </w:tcPr>
          <w:p w:rsidR="006D335B" w:rsidRPr="00F84C79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D335B" w:rsidRPr="00F84C79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3191" w:type="dxa"/>
          </w:tcPr>
          <w:p w:rsidR="006D335B" w:rsidRPr="00F84C79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6D335B" w:rsidRPr="00F84C79" w:rsidTr="002577B7"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6D335B" w:rsidRPr="00B5572E" w:rsidRDefault="006D335B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A83AA0" w:rsidRPr="00F84C79" w:rsidRDefault="00A83AA0" w:rsidP="00A83AA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335B" w:rsidRPr="00F84C79" w:rsidRDefault="006D335B" w:rsidP="006D335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талаптарына сәйкес конкурсқа қатысушыларға қойылатын негізгі талаптар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A83AA0" w:rsidRPr="00B5572E" w:rsidRDefault="00B5572E" w:rsidP="00B5572E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D335B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 (санатсыз): тиісті бейін бойынша педагогикалық кәсіптік білімі немесе тиісті бейін бойынша педагогикалық қайта даярлауды немесе техникалық және кәсіптік білімін растайтын, жұмыс өтіліне қойылатын талаптарды көрсетпей-ақ өзге де құжаты бар</w:t>
      </w:r>
    </w:p>
    <w:p w:rsidR="006D335B" w:rsidRPr="00F84C79" w:rsidRDefault="006D335B" w:rsidP="006D335B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2.3.Робототехника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оқытушысы</w:t>
      </w:r>
      <w:proofErr w:type="spellEnd"/>
    </w:p>
    <w:p w:rsidR="006D335B" w:rsidRPr="00F84C79" w:rsidRDefault="006D335B" w:rsidP="00A83AA0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беру робототехника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шығармашылық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ұйымдастырады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құрамын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топтарға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кіші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топтарға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үйірмелерге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жинақтайды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қауіпсіз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өмі</w:t>
      </w:r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сүруін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шаралар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қабылдайды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бағдарламаларын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әзірлеуге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proofErr w:type="gramEnd"/>
      <w:r w:rsidRPr="00F84C79">
        <w:rPr>
          <w:rFonts w:ascii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қатысады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сабақтардың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жоспарлары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бағдарламаларын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жасайды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орындалуын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335B" w:rsidRPr="00F84C79" w:rsidRDefault="006D335B" w:rsidP="006D335B">
      <w:pPr>
        <w:pStyle w:val="a4"/>
        <w:shd w:val="clear" w:color="auto" w:fill="FFFFFF"/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84C79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Белгіленген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құжаттаманы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жүргізу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мектепке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дейінгі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бі</w:t>
      </w:r>
      <w:proofErr w:type="gramStart"/>
      <w:r w:rsidRPr="00F84C79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F84C79">
        <w:rPr>
          <w:rFonts w:eastAsiaTheme="minorHAnsi"/>
          <w:sz w:val="28"/>
          <w:szCs w:val="28"/>
          <w:lang w:eastAsia="en-US"/>
        </w:rPr>
        <w:t>ім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беру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ұйымының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бекітілген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істер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номенклатурасына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сәйкес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>).</w:t>
      </w:r>
    </w:p>
    <w:p w:rsidR="006D335B" w:rsidRPr="00F84C79" w:rsidRDefault="006D335B" w:rsidP="006D33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kk-KZ" w:eastAsia="en-US"/>
        </w:rPr>
      </w:pPr>
      <w:r w:rsidRPr="00F84C79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Балалардың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шығармашылық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қабілеттерін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анықтау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адамгершілік-рухани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тұ</w:t>
      </w:r>
      <w:proofErr w:type="gramStart"/>
      <w:r w:rsidRPr="00F84C79">
        <w:rPr>
          <w:rFonts w:eastAsiaTheme="minorHAnsi"/>
          <w:sz w:val="28"/>
          <w:szCs w:val="28"/>
          <w:lang w:eastAsia="en-US"/>
        </w:rPr>
        <w:t>лғаны</w:t>
      </w:r>
      <w:proofErr w:type="gramEnd"/>
      <w:r w:rsidRPr="00F84C79">
        <w:rPr>
          <w:rFonts w:eastAsiaTheme="minorHAnsi"/>
          <w:sz w:val="28"/>
          <w:szCs w:val="28"/>
          <w:lang w:eastAsia="en-US"/>
        </w:rPr>
        <w:t>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дамуына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ықпал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ету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оқушылардың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робототехника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саласында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тұрақты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қызығушылықтарын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қалыптастыру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>.</w:t>
      </w:r>
    </w:p>
    <w:p w:rsidR="00B5572E" w:rsidRDefault="00A83AA0" w:rsidP="006D33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F84C79">
        <w:rPr>
          <w:sz w:val="28"/>
          <w:szCs w:val="28"/>
          <w:lang w:val="kk-KZ"/>
        </w:rPr>
        <w:t> </w:t>
      </w:r>
      <w:r w:rsidR="006D335B" w:rsidRPr="00F84C79">
        <w:rPr>
          <w:color w:val="000000"/>
          <w:sz w:val="28"/>
          <w:szCs w:val="28"/>
          <w:lang w:val="kk-KZ"/>
        </w:rPr>
        <w:t>- Тәрбиеленушілердің дербес қызметін, оның ішінде зерттеу қызметін ұйымдастыру, білім беру процесіне инновациялық технологияларды енгізеді, оқытудың практикамен байланысын жүзеге асырады. Тәрбиеленушілердің жетістіктерін қамтамасыз ету және талдау.</w:t>
      </w:r>
    </w:p>
    <w:p w:rsidR="00B5572E" w:rsidRDefault="006D335B" w:rsidP="006D33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F84C79">
        <w:rPr>
          <w:color w:val="000000"/>
          <w:sz w:val="28"/>
          <w:szCs w:val="28"/>
          <w:lang w:val="kk-KZ"/>
        </w:rPr>
        <w:t xml:space="preserve"> - Компьютерлік технологияларды қолдана отырып, дағдыларды игеруді, шығармашылық қызмет тәжірибесін, танымдық қызығушылықты дамытуды ескере отырып, оқытудың тиімділігін бағалау. Тұрақты кәсіби қызығушылықтар мен бейімділіктерді қалыптастыруға ықпал ету, дарынды </w:t>
      </w:r>
      <w:r w:rsidRPr="00F84C79">
        <w:rPr>
          <w:color w:val="000000"/>
          <w:sz w:val="28"/>
          <w:szCs w:val="28"/>
          <w:lang w:val="kk-KZ"/>
        </w:rPr>
        <w:lastRenderedPageBreak/>
        <w:t>және талантты тәрбиеленушілерді, оның ішінде даму мүмкіндігі шектеулі балаларды қолдау.</w:t>
      </w:r>
    </w:p>
    <w:p w:rsidR="006D335B" w:rsidRPr="00F84C79" w:rsidRDefault="006D335B" w:rsidP="006D33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F84C79">
        <w:rPr>
          <w:color w:val="000000"/>
          <w:sz w:val="28"/>
          <w:szCs w:val="28"/>
          <w:lang w:val="kk-KZ"/>
        </w:rPr>
        <w:t xml:space="preserve"> - Ата-аналарға және оларды алмастыратын адамдарға, сондай-ақ педагог қызметкерлерге консультациялық көмек көрсету.</w:t>
      </w:r>
    </w:p>
    <w:p w:rsidR="006D335B" w:rsidRPr="00F84C79" w:rsidRDefault="006D335B" w:rsidP="006D33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p w:rsidR="00700447" w:rsidRPr="00F84C79" w:rsidRDefault="00700447" w:rsidP="0070044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0447" w:rsidRPr="00F84C79" w:rsidTr="002577B7">
        <w:tc>
          <w:tcPr>
            <w:tcW w:w="3190" w:type="dxa"/>
            <w:vMerge w:val="restart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Сілтеме, кезең</w:t>
            </w:r>
          </w:p>
        </w:tc>
        <w:tc>
          <w:tcPr>
            <w:tcW w:w="6381" w:type="dxa"/>
            <w:gridSpan w:val="2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Еңбек еткен жылдарына байланысты</w:t>
            </w:r>
          </w:p>
        </w:tc>
      </w:tr>
      <w:tr w:rsidR="00700447" w:rsidRPr="00F84C79" w:rsidTr="002577B7">
        <w:tc>
          <w:tcPr>
            <w:tcW w:w="3190" w:type="dxa"/>
            <w:vMerge/>
          </w:tcPr>
          <w:p w:rsidR="00700447" w:rsidRPr="00F84C79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700447" w:rsidRPr="00F84C79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3191" w:type="dxa"/>
          </w:tcPr>
          <w:p w:rsidR="00700447" w:rsidRPr="00F84C79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700447" w:rsidRPr="00F84C79" w:rsidTr="002577B7"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700447" w:rsidRPr="00B5572E" w:rsidRDefault="00700447" w:rsidP="002577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700447" w:rsidRPr="00F84C79" w:rsidRDefault="00700447" w:rsidP="006D33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</w:p>
    <w:p w:rsidR="00A83AA0" w:rsidRPr="00F84C79" w:rsidRDefault="00A83AA0" w:rsidP="002F2579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00447" w:rsidRPr="00F84C79" w:rsidRDefault="00700447" w:rsidP="0070044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талаптарына сәйкес конкурсқа қатысушыларға қойылатын негізгі талаптар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700447" w:rsidRPr="00F84C79" w:rsidRDefault="00B5572E" w:rsidP="00700447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700447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 (санатсыз): тиісті бейін бойынша педагогикалық кәсіптік білімі немесе тиісті бейін бойынша педагогикалық қайта даярлауды немесе техникалық және кәсіптік білімін растайтын, жұмыс өтіліне қойылатын талаптарды көрсетпей-ақ өзге де құжаты бар</w:t>
      </w:r>
    </w:p>
    <w:p w:rsidR="00A83AA0" w:rsidRPr="00F84C79" w:rsidRDefault="00A83AA0" w:rsidP="00A83AA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447" w:rsidRPr="00F84C79" w:rsidRDefault="00700447" w:rsidP="00B5572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B5572E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ұжаттарды қабылдау мерзімдері конкурс өткізу туралы хабарландыру соңғы жарияланғаннан кейінгі </w:t>
      </w:r>
      <w:r w:rsidR="005A54F9" w:rsidRPr="00F84C79">
        <w:rPr>
          <w:rFonts w:ascii="Times New Roman" w:hAnsi="Times New Roman" w:cs="Times New Roman"/>
          <w:b/>
          <w:sz w:val="28"/>
          <w:szCs w:val="28"/>
          <w:lang w:val="kk-KZ"/>
        </w:rPr>
        <w:t>келесі күннен бастап есептеледі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700447" w:rsidRPr="00B5572E" w:rsidRDefault="00700447" w:rsidP="0070044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қабылдаудың басталу күні: </w:t>
      </w:r>
      <w:r w:rsidR="005A54F9"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2024ж. </w:t>
      </w:r>
      <w:r w:rsidR="0023043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тамыз</w:t>
      </w:r>
      <w:r w:rsidR="005A54F9" w:rsidRPr="002E16E9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00447" w:rsidRPr="00B5572E" w:rsidRDefault="00700447" w:rsidP="0070044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қабылдаудың аяқталу күні: </w:t>
      </w:r>
      <w:r w:rsidR="005A54F9"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2024ж. </w:t>
      </w:r>
      <w:r w:rsidR="0023043F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тамыз</w:t>
      </w:r>
      <w:r w:rsidR="005A54F9" w:rsidRPr="002E16E9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00447" w:rsidRPr="00B5572E" w:rsidRDefault="00700447" w:rsidP="0070044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447" w:rsidRPr="00F84C79" w:rsidRDefault="00700447" w:rsidP="0070044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A54F9" w:rsidRPr="00F84C79" w:rsidRDefault="005A54F9" w:rsidP="005A54F9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Қажетті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құжаттар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тізімі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759DD" w:rsidRPr="00F84C79" w:rsidRDefault="005A54F9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2012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21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ақпандағы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№ 57"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бұйрығына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өзгерістер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84C79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лауазымға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лауазымнан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қағидалары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" 15-қосымшасына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берілетін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құжаттардың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тізбесін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көрсете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84C79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педагогтерінің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лауазымдарынан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D314F1" w:rsidRPr="00F84C79" w:rsidRDefault="004759DD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Жеке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куәландыратын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</w:t>
      </w:r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жат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цифрлық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сервисінен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электрон</w:t>
      </w:r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>дық</w:t>
      </w:r>
      <w:proofErr w:type="spellEnd"/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>құжат</w:t>
      </w:r>
      <w:proofErr w:type="spellEnd"/>
      <w:proofErr w:type="gramEnd"/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>сәйкестендіру</w:t>
      </w:r>
      <w:proofErr w:type="spellEnd"/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="00D314F1" w:rsidRPr="00F84C7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314F1" w:rsidRPr="00F84C79" w:rsidRDefault="004759DD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Кадрларды есепке алу бойынша толтырылған бағалау парағы (нақты тұрғылықты мекенжайын және байланыс телефондарын көрсете отырып-бар болса); </w:t>
      </w:r>
    </w:p>
    <w:p w:rsidR="00D314F1" w:rsidRPr="00F84C79" w:rsidRDefault="004759DD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Педагогтердің үлгілік біліктілік сипаттамаларымен бекітілген лауазымға қойылған біліктілік талаптарына сәйкес білімі туралы құжаттардың көшірмелері; </w:t>
      </w:r>
    </w:p>
    <w:p w:rsidR="00D314F1" w:rsidRPr="00F84C79" w:rsidRDefault="004759DD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Еңбек қызметін растайтын құжаттың көшірмесі (бар болса); </w:t>
      </w:r>
    </w:p>
    <w:p w:rsidR="00D314F1" w:rsidRPr="00F84C79" w:rsidRDefault="004759DD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"Денсаулық сақтау саласындағы есепке алу құжаттамасының нысандарын бекіту туралы" ҚР Денсаулық сақтау министрінің міндетін атқарушының 2020 жылғы 30 қазандағы</w:t>
      </w:r>
      <w:r w:rsidR="00D314F1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ҚРДСМ-175/2020 бұйрығымен бекітілген нысан бойынша денсаулық</w:t>
      </w:r>
      <w:r w:rsidR="00D314F1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жағдайы туралы анықтама;</w:t>
      </w:r>
    </w:p>
    <w:p w:rsidR="00D314F1" w:rsidRPr="00F84C79" w:rsidRDefault="004759DD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Психоневрологиялық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ұйымнан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14F1" w:rsidRPr="00F84C79" w:rsidRDefault="004759DD" w:rsidP="00A83AA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Наркологиялық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ұйымнан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14F1" w:rsidRPr="00B5572E" w:rsidRDefault="00D314F1" w:rsidP="00B5572E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759DD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Сертификаттаудан өту нәтижелері туралы Сертификат немесе қолданыстағы біліктілік санатының болуы туралы куәлік (бар болса)</w:t>
      </w:r>
    </w:p>
    <w:p w:rsidR="00D314F1" w:rsidRPr="00F84C79" w:rsidRDefault="00D314F1" w:rsidP="00D314F1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10. Қазақстан Республикасы Білім және ғылым министрінің 2012 жылғы 21 ақпандағы № 57 "лауазымға тағайындау қағидаларын бекіту туралы" бұйрығына өзгерістер енгізу туралы "Мемлекеттік білім беру ұйымдарының бірінші басшылары мен педагогтерін лауазымға тағайындау, лауазымнан босату қағидалары "16-қосымшасына сәйкес нысан бойынша педагогтің бос немесе уақытша бос лауазымына кандидаттың толтырылған бағалау парағы, мемлекеттік білім беру ұйымдарының бірінші басшылары мен педагогтерін лауазымдарынан босату" </w:t>
      </w:r>
    </w:p>
    <w:p w:rsidR="00D314F1" w:rsidRPr="00F84C79" w:rsidRDefault="00D314F1" w:rsidP="00D314F1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11. Өтілі жоқ кандидат үшін </w:t>
      </w:r>
      <w:r w:rsidR="006121AE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720x480 ең аз рұқсат болатын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ұзақтығы кемінде 10 минут бейнепрезентация (өзін-өзі таныстыру</w:t>
      </w:r>
      <w:r w:rsidR="006121AE"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):</w:t>
      </w:r>
    </w:p>
    <w:p w:rsidR="00A83AA0" w:rsidRPr="00F84C79" w:rsidRDefault="006121AE" w:rsidP="00D314F1">
      <w:pPr>
        <w:pStyle w:val="a6"/>
        <w:ind w:left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Құжаттарды ұсыну орны, байланыс телефоны және конкурс өткізуді ұйымдастыруға жауапты тұлға</w:t>
      </w:r>
      <w:r w:rsidR="00A83AA0" w:rsidRPr="00F84C7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121AE" w:rsidRPr="00F84C79" w:rsidRDefault="006121AE" w:rsidP="006121AE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6121AE" w:rsidRPr="00F84C79" w:rsidRDefault="006121AE" w:rsidP="006121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Шахан кенті  11/17 кварталы, 25 ғимарат </w:t>
      </w:r>
    </w:p>
    <w:p w:rsidR="006121AE" w:rsidRPr="00F84C79" w:rsidRDefault="006121AE" w:rsidP="006121A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C79">
        <w:rPr>
          <w:rFonts w:ascii="Times New Roman" w:hAnsi="Times New Roman" w:cs="Times New Roman"/>
          <w:sz w:val="28"/>
          <w:szCs w:val="28"/>
        </w:rPr>
        <w:t xml:space="preserve">тел.8(72156)33303,  8(72156)34041, </w:t>
      </w:r>
    </w:p>
    <w:p w:rsidR="006121AE" w:rsidRPr="00F84C79" w:rsidRDefault="006121AE" w:rsidP="006121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84C7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84C7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shahtinsk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berezka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krg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A83AA0" w:rsidRPr="00B5572E" w:rsidRDefault="006121AE" w:rsidP="006121A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Құжаттарды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</w:t>
      </w:r>
      <w:proofErr w:type="gram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абылдау</w:t>
      </w:r>
      <w:proofErr w:type="gram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ға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жауапты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комиссиясының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="00B5572E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572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Ольга Анатольевна Алпарова.</w:t>
      </w:r>
    </w:p>
    <w:p w:rsidR="00A83AA0" w:rsidRPr="00F84C79" w:rsidRDefault="00A83AA0" w:rsidP="00A83AA0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413E67" w:rsidRPr="00F84C79" w:rsidRDefault="00413E67">
      <w:pPr>
        <w:rPr>
          <w:rFonts w:ascii="Times New Roman" w:hAnsi="Times New Roman" w:cs="Times New Roman"/>
          <w:sz w:val="28"/>
          <w:szCs w:val="28"/>
        </w:rPr>
      </w:pPr>
    </w:p>
    <w:sectPr w:rsidR="00413E67" w:rsidRPr="00F84C79" w:rsidSect="002E16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A47"/>
    <w:multiLevelType w:val="hybridMultilevel"/>
    <w:tmpl w:val="306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A3"/>
    <w:rsid w:val="000E0851"/>
    <w:rsid w:val="001E2437"/>
    <w:rsid w:val="0023043F"/>
    <w:rsid w:val="002E16E9"/>
    <w:rsid w:val="002F2579"/>
    <w:rsid w:val="00413E67"/>
    <w:rsid w:val="004759DD"/>
    <w:rsid w:val="00496139"/>
    <w:rsid w:val="005A54F9"/>
    <w:rsid w:val="006121AE"/>
    <w:rsid w:val="006A40F7"/>
    <w:rsid w:val="006A4BFC"/>
    <w:rsid w:val="006D335B"/>
    <w:rsid w:val="00700447"/>
    <w:rsid w:val="00735709"/>
    <w:rsid w:val="007A2792"/>
    <w:rsid w:val="007C1128"/>
    <w:rsid w:val="00A014A3"/>
    <w:rsid w:val="00A47032"/>
    <w:rsid w:val="00A83AA0"/>
    <w:rsid w:val="00B5572E"/>
    <w:rsid w:val="00C7356C"/>
    <w:rsid w:val="00D314F1"/>
    <w:rsid w:val="00DC5747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AA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8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3AA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83AA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AA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8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3AA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83AA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березка</cp:lastModifiedBy>
  <cp:revision>8</cp:revision>
  <dcterms:created xsi:type="dcterms:W3CDTF">2024-08-02T07:35:00Z</dcterms:created>
  <dcterms:modified xsi:type="dcterms:W3CDTF">2024-08-05T05:03:00Z</dcterms:modified>
</cp:coreProperties>
</file>