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171a" w14:textId="48c1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үш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w:t>
      </w:r>
    </w:p>
    <w:p>
      <w:pPr>
        <w:spacing w:after="0"/>
        <w:ind w:left="0"/>
        <w:jc w:val="both"/>
      </w:pPr>
      <w:r>
        <w:rPr>
          <w:rFonts w:ascii="Times New Roman"/>
          <w:b w:val="false"/>
          <w:i w:val="false"/>
          <w:color w:val="000000"/>
          <w:sz w:val="28"/>
        </w:rPr>
        <w:t>
      сабақтан тыс спорт сабақтарын жүргізу үшін – базалық лауазымдық айлықақысының жүз пайызы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сондай-ақ әдістемелік кабинетте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p>
      <w:pPr>
        <w:spacing w:after="0"/>
        <w:ind w:left="0"/>
        <w:jc w:val="both"/>
      </w:pPr>
      <w:r>
        <w:rPr>
          <w:rFonts w:ascii="Times New Roman"/>
          <w:b w:val="false"/>
          <w:i w:val="false"/>
          <w:color w:val="000000"/>
          <w:sz w:val="28"/>
        </w:rPr>
        <w:t xml:space="preserve">
      Білім беру саласындағы уәкілетті орган айқындайтын тізбе бойынша жалпы білім беретін пәндер бойынша халықаралық олимпиадалардың жеңімпазын, жүлдегерін дайындаған педагог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бюджет қаражаты есебінен біржолғы сыйақымен көтермеленеді.</w:t>
      </w:r>
    </w:p>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Педагогтерді аттестаттау және педагогтерге біліктілік  санаттарын беру (растау)</w:t>
      </w:r>
    </w:p>
    <w:p>
      <w:pPr>
        <w:spacing w:after="0"/>
        <w:ind w:left="0"/>
        <w:jc w:val="both"/>
      </w:pPr>
      <w:r>
        <w:rPr>
          <w:rFonts w:ascii="Times New Roman"/>
          <w:b w:val="false"/>
          <w:i w:val="false"/>
          <w:color w:val="000000"/>
          <w:sz w:val="28"/>
        </w:rPr>
        <w:t>
      Педагогтер аттестаттаудан өтеді, соның нәтижелері бойынша білім беру саласындағы уәкілетті орган айқындайтын тәртіппен біліктілік санаттары беріледі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